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0400AE88">
      <w:pPr>
        <w:pStyle w:val="a0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after="0"/>
        <w:ind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12344400</wp:posOffset>
            </wp:positionV>
            <wp:extent cx="266700" cy="482600"/>
            <wp:wrapNone/>
            <wp:docPr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hint="default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-247015</wp:posOffset>
            </wp:positionH>
            <wp:positionV relativeFrom="paragraph">
              <wp:posOffset>2707640</wp:posOffset>
            </wp:positionV>
            <wp:extent cx="5355590" cy="3160395"/>
            <wp:effectExtent l="0" t="0" r="16510" b="1905"/>
            <wp:wrapTopAndBottom/>
            <wp:docPr id="3" name="图片 3" descr="1726887170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68871702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55590" cy="3160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-295275</wp:posOffset>
            </wp:positionV>
            <wp:extent cx="4445635" cy="2586990"/>
            <wp:effectExtent l="0" t="0" r="12065" b="3810"/>
            <wp:wrapTopAndBottom/>
            <wp:docPr id="2" name="图片 2" descr="172688708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68870823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635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80" w:rightFromText="180" w:vertAnchor="text" w:horzAnchor="page" w:tblpX="8868" w:tblpY="281"/>
        <w:tblOverlap w:val="never"/>
        <w:tblW w:w="685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023"/>
        <w:gridCol w:w="2086"/>
        <w:gridCol w:w="2755"/>
      </w:tblGrid>
      <w:tr w14:paraId="473EBA60">
        <w:tblPrEx>
          <w:tblW w:w="685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2011" w:type="dxa"/>
            <w:gridSpan w:val="2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BA286A3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黑体" w:eastAsia="黑体" w:hAnsi="黑体" w:cs="黑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黑体" w:eastAsia="黑体" w:hAnsi="黑体" w:cs="黑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区别</w:t>
            </w:r>
          </w:p>
        </w:tc>
        <w:tc>
          <w:tcPr>
            <w:tcW w:w="2086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DB891A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黑体" w:eastAsia="黑体" w:hAnsi="黑体" w:cs="黑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黑体" w:eastAsia="黑体" w:hAnsi="黑体" w:cs="黑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原核细胞</w:t>
            </w:r>
          </w:p>
        </w:tc>
        <w:tc>
          <w:tcPr>
            <w:tcW w:w="2755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2E32E3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黑体" w:eastAsia="黑体" w:hAnsi="黑体" w:cs="黑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黑体" w:eastAsia="黑体" w:hAnsi="黑体" w:cs="黑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真核细胞</w:t>
            </w:r>
          </w:p>
        </w:tc>
      </w:tr>
      <w:tr w14:paraId="34BEB781">
        <w:tblPrEx>
          <w:tblW w:w="6852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/>
        </w:trPr>
        <w:tc>
          <w:tcPr>
            <w:tcW w:w="988" w:type="dxa"/>
            <w:vMerge w:val="restart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A1CE8E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黑体" w:eastAsia="黑体" w:hAnsi="黑体" w:cs="黑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多样性</w:t>
            </w:r>
          </w:p>
        </w:tc>
        <w:tc>
          <w:tcPr>
            <w:tcW w:w="1023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87FA15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本质区别</w:t>
            </w:r>
          </w:p>
        </w:tc>
        <w:tc>
          <w:tcPr>
            <w:tcW w:w="2086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D6EAF7B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无以核膜为界限的细胞核</w:t>
            </w:r>
          </w:p>
        </w:tc>
        <w:tc>
          <w:tcPr>
            <w:tcW w:w="2755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B698AF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有以核膜为界限的细胞核</w:t>
            </w:r>
          </w:p>
        </w:tc>
      </w:tr>
      <w:tr w14:paraId="1AC05923">
        <w:tblPrEx>
          <w:tblW w:w="6852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988" w:type="dxa"/>
            <w:vMerge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D4A21E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23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FD80AE9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大小</w:t>
            </w:r>
          </w:p>
        </w:tc>
        <w:tc>
          <w:tcPr>
            <w:tcW w:w="2086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24C1A6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较小</w:t>
            </w:r>
          </w:p>
        </w:tc>
        <w:tc>
          <w:tcPr>
            <w:tcW w:w="2755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70CEFA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较大</w:t>
            </w:r>
          </w:p>
        </w:tc>
      </w:tr>
      <w:tr w14:paraId="153EE861">
        <w:tblPrEx>
          <w:tblW w:w="6852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9"/>
        </w:trPr>
        <w:tc>
          <w:tcPr>
            <w:tcW w:w="988" w:type="dxa"/>
            <w:vMerge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A1B7C2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23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A2F7E3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细胞核</w:t>
            </w:r>
          </w:p>
        </w:tc>
        <w:tc>
          <w:tcPr>
            <w:tcW w:w="2086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E8A250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无细胞核、核膜、核仁，有拟核，DNA分子不与蛋白质结合</w:t>
            </w:r>
          </w:p>
        </w:tc>
        <w:tc>
          <w:tcPr>
            <w:tcW w:w="2755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0EFA97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有细胞核、核膜、核仁，DNA分子与蛋白质结合形成染色质（或染色体）</w:t>
            </w:r>
          </w:p>
        </w:tc>
      </w:tr>
      <w:tr w14:paraId="378F7395">
        <w:tblPrEx>
          <w:tblW w:w="6852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988" w:type="dxa"/>
            <w:vMerge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258E8A1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23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9B4EB6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增殖方式</w:t>
            </w:r>
          </w:p>
        </w:tc>
        <w:tc>
          <w:tcPr>
            <w:tcW w:w="2086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153D1BE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二分裂</w:t>
            </w:r>
          </w:p>
        </w:tc>
        <w:tc>
          <w:tcPr>
            <w:tcW w:w="2755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659AE79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有丝分裂、无丝分裂</w:t>
            </w:r>
          </w:p>
        </w:tc>
      </w:tr>
      <w:tr w14:paraId="0B29B787">
        <w:tblPrEx>
          <w:tblW w:w="6852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/>
        </w:trPr>
        <w:tc>
          <w:tcPr>
            <w:tcW w:w="988" w:type="dxa"/>
            <w:vMerge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78426B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23" w:type="dxa"/>
            <w:vMerge w:val="restart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D5975F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细胞壁</w:t>
            </w:r>
          </w:p>
          <w:p w14:paraId="7A07DAF0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（成分）</w:t>
            </w:r>
          </w:p>
        </w:tc>
        <w:tc>
          <w:tcPr>
            <w:tcW w:w="2086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596B3E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有（支原体除外）</w:t>
            </w:r>
          </w:p>
        </w:tc>
        <w:tc>
          <w:tcPr>
            <w:tcW w:w="2755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02807B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植物和真菌有</w:t>
            </w:r>
          </w:p>
          <w:p w14:paraId="5B50BE48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动物无</w:t>
            </w:r>
          </w:p>
        </w:tc>
      </w:tr>
      <w:tr w14:paraId="7A4F7466">
        <w:tblPrEx>
          <w:tblW w:w="6852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/>
        </w:trPr>
        <w:tc>
          <w:tcPr>
            <w:tcW w:w="988" w:type="dxa"/>
            <w:vMerge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B3A4A8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23" w:type="dxa"/>
            <w:vMerge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FF1A0E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86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1ED585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肽聚糖</w:t>
            </w:r>
          </w:p>
        </w:tc>
        <w:tc>
          <w:tcPr>
            <w:tcW w:w="2755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540C93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真菌：几丁质；</w:t>
            </w:r>
          </w:p>
          <w:p w14:paraId="4859E9C2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植物：纤维素和果胶</w:t>
            </w:r>
          </w:p>
        </w:tc>
      </w:tr>
      <w:tr w14:paraId="47B4CB15">
        <w:tblPrEx>
          <w:tblW w:w="6852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/>
        </w:trPr>
        <w:tc>
          <w:tcPr>
            <w:tcW w:w="988" w:type="dxa"/>
            <w:vMerge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0867AC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23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7EFFDD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细胞质</w:t>
            </w:r>
          </w:p>
        </w:tc>
        <w:tc>
          <w:tcPr>
            <w:tcW w:w="2086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D976B6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仅有核糖体，无其他细胞器</w:t>
            </w:r>
          </w:p>
        </w:tc>
        <w:tc>
          <w:tcPr>
            <w:tcW w:w="2755" w:type="dxa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BA3C77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有核糖体、线粒体等其他复杂细胞器</w:t>
            </w:r>
          </w:p>
        </w:tc>
      </w:tr>
      <w:tr w14:paraId="56827DD1">
        <w:tblPrEx>
          <w:tblW w:w="6852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/>
        </w:trPr>
        <w:tc>
          <w:tcPr>
            <w:tcW w:w="2011" w:type="dxa"/>
            <w:gridSpan w:val="2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00BA2F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黑体" w:eastAsia="黑体" w:hAnsi="黑体" w:cs="黑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统一性</w:t>
            </w:r>
          </w:p>
        </w:tc>
        <w:tc>
          <w:tcPr>
            <w:tcW w:w="4841" w:type="dxa"/>
            <w:gridSpan w:val="2"/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A3A3F5">
            <w:pPr>
              <w:keepNext w:val="0"/>
              <w:keepLines w:val="0"/>
              <w:pageBreakBefore w:val="0"/>
              <w:widowControl/>
              <w:suppressLineNumbers w:val="0"/>
              <w:wordWrap/>
              <w:topLinePunct w:val="0"/>
              <w:autoSpaceDE/>
              <w:autoSpaceDN/>
              <w:bidi w:val="0"/>
              <w:spacing w:after="0"/>
              <w:ind w:firstLine="0" w:firstLineChars="0"/>
              <w:jc w:val="center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均含有细胞膜、细胞质、核糖体、遗传物质DNA（只要有细胞结构，其遗传物质就是DNA）</w:t>
            </w:r>
          </w:p>
        </w:tc>
      </w:tr>
    </w:tbl>
    <w:p w14:paraId="3E23D937">
      <w:pPr>
        <w:pStyle w:val="a0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after="0"/>
        <w:ind w:firstLine="0" w:firstLineChars="0"/>
        <w:rPr>
          <w:rFonts w:hint="default"/>
          <w:lang w:val="en-US" w:eastAsia="zh-CN"/>
        </w:rPr>
        <w:sectPr>
          <w:headerReference w:type="default" r:id="rId8"/>
          <w:pgSz w:w="16838" w:h="11906" w:orient="landscape"/>
          <w:pgMar w:top="720" w:right="720" w:bottom="720" w:left="720" w:header="851" w:footer="992" w:gutter="0"/>
          <w:cols w:num="2" w:space="708" w:equalWidth="0">
            <w:col w:w="7487" w:space="425"/>
            <w:col w:w="7486" w:space="0"/>
          </w:cols>
          <w:rtlGutter w:val="0"/>
          <w:docGrid w:type="lines" w:linePitch="312" w:charSpace="0"/>
        </w:sectPr>
      </w:pPr>
    </w:p>
    <w:p w14:paraId="3F473930">
      <w:pPr>
        <w:pStyle w:val="a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显微镜的特点</w:t>
      </w:r>
    </w:p>
    <w:p w14:paraId="4ABD7EB1">
      <w:pPr>
        <w:pStyle w:val="a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firstLine="0" w:leftChars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显微镜的放大倍数：目镜倍数×物镜倍数</w:t>
      </w:r>
    </w:p>
    <w:p w14:paraId="1668E213">
      <w:pPr>
        <w:pStyle w:val="a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1532255</wp:posOffset>
            </wp:positionH>
            <wp:positionV relativeFrom="paragraph">
              <wp:posOffset>198120</wp:posOffset>
            </wp:positionV>
            <wp:extent cx="1826260" cy="959485"/>
            <wp:effectExtent l="0" t="0" r="2540" b="12065"/>
            <wp:wrapTight wrapText="bothSides">
              <wp:wrapPolygon>
                <wp:start x="0" y="0"/>
                <wp:lineTo x="0" y="21014"/>
                <wp:lineTo x="21405" y="21014"/>
                <wp:lineTo x="21405" y="0"/>
                <wp:lineTo x="0" y="0"/>
              </wp:wrapPolygon>
            </wp:wrapTight>
            <wp:docPr id="2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626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（易错示警）显微镜的放大倍数放大的是细胞的长度和宽度，不是面积或者体积。</w:t>
      </w:r>
    </w:p>
    <w:p w14:paraId="7136BC78">
      <w:pPr>
        <w:pStyle w:val="a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firstLine="0" w:leftChars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目镜与物镜</w:t>
      </w:r>
    </w:p>
    <w:p w14:paraId="7A9467FE">
      <w:pPr>
        <w:pStyle w:val="a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leftChars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</w:p>
    <w:p w14:paraId="573F5FF0">
      <w:pPr>
        <w:pStyle w:val="a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leftChars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</w:p>
    <w:p w14:paraId="51EFA5D2">
      <w:pPr>
        <w:pStyle w:val="a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leftChars="0" w:firstLineChars="0"/>
        <w:jc w:val="both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</w:p>
    <w:p w14:paraId="179D7FB2">
      <w:pPr>
        <w:pStyle w:val="a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leftChars="0" w:firstLineChars="0"/>
        <w:jc w:val="both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</w:p>
    <w:p w14:paraId="3C1CD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textAlignment w:val="auto"/>
        <w:rPr>
          <w:rFonts w:hint="default"/>
          <w:b/>
          <w:bCs w:val="0"/>
          <w:sz w:val="21"/>
          <w:szCs w:val="21"/>
          <w:lang w:val="en-US" w:eastAsia="zh-CN"/>
        </w:rPr>
      </w:pPr>
      <w:r>
        <w:rPr>
          <w:rFonts w:hint="eastAsia"/>
          <w:b/>
          <w:bCs w:val="0"/>
          <w:sz w:val="21"/>
          <w:szCs w:val="21"/>
          <w:lang w:val="en-US" w:eastAsia="zh-CN"/>
        </w:rPr>
        <w:t>目镜（无螺纹）：越长放大倍数越小；越短放大倍数越大</w:t>
      </w:r>
    </w:p>
    <w:p w14:paraId="36E11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hint="eastAsia"/>
          <w:b/>
          <w:bCs w:val="0"/>
          <w:sz w:val="21"/>
          <w:szCs w:val="21"/>
          <w:lang w:val="en-US" w:eastAsia="zh-CN"/>
        </w:rPr>
        <w:t>物镜（有螺纹）：越长放大倍数越大，距离玻片越近；越短放大倍数越小，距离玻片越远</w:t>
      </w:r>
    </w:p>
    <w:p w14:paraId="0D9B09AC">
      <w:pPr>
        <w:pStyle w:val="a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leftChars="0" w:firstLineChars="0"/>
        <w:jc w:val="center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（物镜）高倍镜与低倍镜的比较</w:t>
      </w:r>
    </w:p>
    <w:tbl>
      <w:tblPr>
        <w:tblStyle w:val="TableNormal"/>
        <w:tblW w:w="4154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1244"/>
        <w:gridCol w:w="1626"/>
        <w:gridCol w:w="1302"/>
        <w:gridCol w:w="1846"/>
        <w:gridCol w:w="1316"/>
      </w:tblGrid>
      <w:tr w14:paraId="1215AD4D">
        <w:tblPrEx>
          <w:tblW w:w="4154" w:type="pct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03B7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B07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物像大小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BC5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视野中细胞数目</w:t>
            </w:r>
          </w:p>
        </w:tc>
        <w:tc>
          <w:tcPr>
            <w:tcW w:w="7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7A5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视野亮度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49A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物镜与玻片的距离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270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视野范围</w:t>
            </w:r>
          </w:p>
        </w:tc>
      </w:tr>
      <w:tr w14:paraId="69DD7BC3">
        <w:tblPrEx>
          <w:tblW w:w="4154" w:type="pct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1F3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高倍镜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BD2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7B6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</w:t>
            </w:r>
          </w:p>
        </w:tc>
        <w:tc>
          <w:tcPr>
            <w:tcW w:w="7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11C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0468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近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829A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</w:t>
            </w:r>
          </w:p>
        </w:tc>
      </w:tr>
      <w:tr w14:paraId="788FD5EA">
        <w:tblPrEx>
          <w:tblW w:w="4154" w:type="pct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5B7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低倍镜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423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3AC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</w:t>
            </w:r>
          </w:p>
        </w:tc>
        <w:tc>
          <w:tcPr>
            <w:tcW w:w="7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9FB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亮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110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9D1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</w:tr>
    </w:tbl>
    <w:p w14:paraId="2E59D6F0">
      <w:pPr>
        <w:pStyle w:val="a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firstLine="0" w:leftChars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4159885</wp:posOffset>
            </wp:positionH>
            <wp:positionV relativeFrom="paragraph">
              <wp:posOffset>126365</wp:posOffset>
            </wp:positionV>
            <wp:extent cx="1682115" cy="745490"/>
            <wp:effectExtent l="0" t="0" r="13335" b="16510"/>
            <wp:wrapTight wrapText="bothSides">
              <wp:wrapPolygon>
                <wp:start x="0" y="0"/>
                <wp:lineTo x="0" y="20974"/>
                <wp:lineTo x="21282" y="20974"/>
                <wp:lineTo x="21282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 l="32638" t="29426" r="34073" b="43442"/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放大倍数与视野内细胞数目计算</w:t>
      </w:r>
    </w:p>
    <w:p w14:paraId="5E6665C0">
      <w:pPr>
        <w:pStyle w:val="a0"/>
        <w:keepNext w:val="0"/>
        <w:keepLines w:val="0"/>
        <w:pageBreakBefore w:val="0"/>
        <w:numPr>
          <w:ilvl w:val="0"/>
          <w:numId w:val="2"/>
        </w:numPr>
        <w:wordWrap/>
        <w:topLinePunct w:val="0"/>
        <w:autoSpaceDE/>
        <w:autoSpaceDN/>
        <w:bidi w:val="0"/>
        <w:spacing w:after="0" w:line="240" w:lineRule="auto"/>
        <w:ind w:left="0" w:firstLine="0" w:leftChars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当视野内是一行细胞时：</w:t>
      </w:r>
      <w:r>
        <w:rPr>
          <w:rStyle w:val="Char"/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（细胞数目与放大倍数成反比）</w:t>
      </w:r>
    </w:p>
    <w:p w14:paraId="139D17F2">
      <w:pPr>
        <w:pStyle w:val="a0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after="0" w:line="240" w:lineRule="auto"/>
        <w:ind w:firstLine="0" w:firstLineChars="0"/>
        <w:jc w:val="both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378460</wp:posOffset>
            </wp:positionV>
            <wp:extent cx="1680845" cy="728980"/>
            <wp:effectExtent l="0" t="0" r="14605" b="13970"/>
            <wp:wrapTight wrapText="bothSides">
              <wp:wrapPolygon>
                <wp:start x="0" y="0"/>
                <wp:lineTo x="0" y="20885"/>
                <wp:lineTo x="21298" y="20885"/>
                <wp:lineTo x="21298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 l="32313" t="62280" r="33916" b="10287"/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8DD870">
      <w:pPr>
        <w:pStyle w:val="a1"/>
        <w:keepNext w:val="0"/>
        <w:keepLines w:val="0"/>
        <w:pageBreakBefore w:val="0"/>
        <w:numPr>
          <w:ilvl w:val="0"/>
          <w:numId w:val="2"/>
        </w:numPr>
        <w:wordWrap/>
        <w:topLinePunct w:val="0"/>
        <w:autoSpaceDE/>
        <w:autoSpaceDN/>
        <w:bidi w:val="0"/>
        <w:spacing w:after="0" w:line="240" w:lineRule="auto"/>
        <w:ind w:left="0" w:firstLine="0" w:leftChars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当视野内铺满细胞时：</w:t>
      </w:r>
      <w:r>
        <w:rPr>
          <w:rStyle w:val="Char"/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（细胞数目与放大倍数的平方成反比）</w:t>
      </w:r>
    </w:p>
    <w:p w14:paraId="37D8F4DF">
      <w:pPr>
        <w:pStyle w:val="a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jc w:val="both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</w:p>
    <w:p w14:paraId="35376BB1">
      <w:pPr>
        <w:pStyle w:val="a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20" w:firstLine="0" w:leftChars="0" w:firstLineChars="0"/>
        <w:jc w:val="both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hAnsi="宋体" w:cs="宋体" w:hint="eastAsia"/>
          <w:b/>
          <w:bCs w:val="0"/>
          <w:sz w:val="21"/>
          <w:szCs w:val="21"/>
          <w:lang w:val="en-US" w:eastAsia="zh-CN"/>
        </w:rPr>
        <w:t xml:space="preserve">4. 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显微镜成像特点</w:t>
      </w:r>
    </w:p>
    <w:p w14:paraId="09DBA8D7">
      <w:pPr>
        <w:pStyle w:val="a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20" w:firstLine="0" w:leftChars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hAnsi="宋体" w:cs="宋体" w:hint="eastAsia"/>
          <w:b/>
          <w:bCs w:val="0"/>
          <w:sz w:val="21"/>
          <w:szCs w:val="21"/>
          <w:lang w:val="en-US" w:eastAsia="zh-CN"/>
        </w:rPr>
        <w:t>成像特点</w:t>
      </w:r>
    </w:p>
    <w:p w14:paraId="2D0EB1C2">
      <w:pPr>
        <w:pStyle w:val="a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20" w:firstLine="0" w:leftChars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显微镜下所成的像是</w:t>
      </w:r>
      <w:r>
        <w:rPr>
          <w:rFonts w:ascii="宋体" w:hAnsi="宋体" w:cs="宋体" w:hint="eastAsia"/>
          <w:b/>
          <w:bCs w:val="0"/>
          <w:sz w:val="21"/>
          <w:szCs w:val="21"/>
          <w:lang w:val="en-US" w:eastAsia="zh-CN"/>
        </w:rPr>
        <w:t>放大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倒立的虚像，即上下、左右均是颠倒的，相当于将观察物水平旋转了180度。</w:t>
      </w:r>
    </w:p>
    <w:p w14:paraId="5A23B99A">
      <w:pPr>
        <w:pStyle w:val="a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20" w:firstLine="0" w:leftChars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如观察“P”，实际在显微镜中看到的是“d</w:t>
      </w:r>
    </w:p>
    <w:p w14:paraId="2527BD77">
      <w:pPr>
        <w:pStyle w:val="a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20" w:firstLine="0" w:leftChars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移动方向</w:t>
      </w:r>
    </w:p>
    <w:p w14:paraId="3E755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*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移动装片时，应按照同向原则，物像偏什么方向，玻片向什么方向移动。</w:t>
      </w:r>
    </w:p>
    <w:p w14:paraId="4F4A6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*动态物像的移动</w:t>
      </w:r>
    </w:p>
    <w:p w14:paraId="4BCF4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 w:val="0"/>
          <w:sz w:val="24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78105</wp:posOffset>
                </wp:positionV>
                <wp:extent cx="612775" cy="591185"/>
                <wp:effectExtent l="4445" t="4445" r="11430" b="1397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12775" cy="591185"/>
                          <a:chOff x="16601" y="9457"/>
                          <a:chExt cx="1518" cy="1516"/>
                        </a:xfrm>
                      </wpg:grpSpPr>
                      <wpg:grpSp>
                        <wpg:cNvPr id="6" name="组合 47"/>
                        <wpg:cNvGrpSpPr/>
                        <wpg:grpSpPr>
                          <a:xfrm>
                            <a:off x="16601" y="9457"/>
                            <a:ext cx="1518" cy="1516"/>
                            <a:chOff x="16567" y="9423"/>
                            <a:chExt cx="1518" cy="1516"/>
                          </a:xfrm>
                        </wpg:grpSpPr>
                        <wps:wsp xmlns:wps="http://schemas.microsoft.com/office/word/2010/wordprocessingShape">
                          <wps:cNvPr id="45" name="椭圆 45"/>
                          <wps:cNvSpPr/>
                          <wps:spPr>
                            <a:xfrm>
                              <a:off x="16567" y="9423"/>
                              <a:ext cx="1518" cy="1517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46" name="椭圆 46"/>
                          <wps:cNvSpPr/>
                          <wps:spPr>
                            <a:xfrm>
                              <a:off x="16943" y="9816"/>
                              <a:ext cx="770" cy="735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upright="1"/>
                        </wps:wsp>
                      </wpg:grpSp>
                      <wpg:grpSp>
                        <wpg:cNvPr id="7" name="组合 53"/>
                        <wpg:cNvGrpSpPr/>
                        <wpg:grpSpPr>
                          <a:xfrm>
                            <a:off x="16884" y="9681"/>
                            <a:ext cx="978" cy="1041"/>
                            <a:chOff x="16884" y="9681"/>
                            <a:chExt cx="978" cy="1041"/>
                          </a:xfrm>
                        </wpg:grpSpPr>
                        <wpg:grpSp>
                          <wpg:cNvPr id="8" name="组合 51"/>
                          <wpg:cNvGrpSpPr/>
                          <wpg:grpSpPr>
                            <a:xfrm>
                              <a:off x="16884" y="9681"/>
                              <a:ext cx="979" cy="821"/>
                              <a:chOff x="16884" y="9698"/>
                              <a:chExt cx="979" cy="821"/>
                            </a:xfrm>
                          </wpg:grpSpPr>
                          <wps:wsp xmlns:wps="http://schemas.microsoft.com/office/word/2010/wordprocessingShape">
                            <wps:cNvPr id="48" name="直接连接符 48"/>
                            <wps:cNvCnPr/>
                            <wps:spPr>
                              <a:xfrm flipV="1">
                                <a:off x="17863" y="9918"/>
                                <a:ext cx="1" cy="59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tailEnd type="arrow"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49" name="直接连接符 49"/>
                            <wps:cNvCnPr/>
                            <wps:spPr>
                              <a:xfrm flipH="1">
                                <a:off x="17016" y="9698"/>
                                <a:ext cx="732" cy="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tailEnd type="arrow"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50" name="直接连接符 50"/>
                            <wps:cNvCnPr/>
                            <wps:spPr>
                              <a:xfrm flipH="1">
                                <a:off x="16884" y="9819"/>
                                <a:ext cx="16" cy="7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tailEnd type="arrow"/>
                              </a:ln>
                            </wps:spPr>
                            <wps:bodyPr upright="1"/>
                          </wps:wsp>
                        </wpg:grpSp>
                        <wps:wsp xmlns:wps="http://schemas.microsoft.com/office/word/2010/wordprocessingShape">
                          <wps:cNvPr id="52" name="直接连接符 52"/>
                          <wps:cNvCnPr/>
                          <wps:spPr>
                            <a:xfrm>
                              <a:off x="17004" y="10722"/>
                              <a:ext cx="734" cy="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tailEnd type="arrow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48.25pt;height:46.55pt;margin-top:6.15pt;margin-left:16.9pt;mso-height-relative:page;mso-width-relative:page;position:absolute;z-index:251665408" coordorigin="16601,9457" coordsize="1518,1516">
                <o:lock v:ext="edit" aspectratio="f"/>
                <v:group id="组合 47" o:spid="_x0000_s1026" style="width:1518;height:1516;left:16601;position:absolute;top:9457" coordorigin="16567,9423" coordsize="1518,1516">
                  <o:lock v:ext="edit" aspectratio="f"/>
                  <v:oval id="_x0000_s1026" o:spid="_x0000_s1027" style="width:1518;height:1517;left:16567;position:absolute;top:9423" coordsize="21600,21600" filled="f" stroked="t" strokecolor="black">
                    <v:stroke joinstyle="round"/>
                    <o:lock v:ext="edit" aspectratio="f"/>
                  </v:oval>
                  <v:oval id="_x0000_s1026" o:spid="_x0000_s1028" style="width:770;height:735;left:16943;position:absolute;top:9816" coordsize="21600,21600" filled="f" stroked="t" strokecolor="black">
                    <v:stroke joinstyle="round"/>
                    <o:lock v:ext="edit" aspectratio="f"/>
                  </v:oval>
                </v:group>
                <v:group id="组合 53" o:spid="_x0000_s1029" style="width:978;height:1041;left:16884;position:absolute;top:9681" coordorigin="16884,9681" coordsize="978,1041">
                  <o:lock v:ext="edit" aspectratio="f"/>
                  <v:group id="组合 51" o:spid="_x0000_s1030" style="width:979;height:821;left:16884;position:absolute;top:9681" coordorigin="16884,9698" coordsize="979,821">
                    <o:lock v:ext="edit" aspectratio="f"/>
                    <v:line id="_x0000_s1026" o:spid="_x0000_s1031" style="flip:y;position:absolute" from="17863,9918" to="17864,10514" coordsize="21600,21600" stroked="t" strokecolor="black">
                      <v:stroke joinstyle="round" endarrow="open"/>
                      <o:lock v:ext="edit" aspectratio="f"/>
                    </v:line>
                    <v:line id="_x0000_s1026" o:spid="_x0000_s1032" style="flip:x;position:absolute" from="17016,9698" to="17748,9699" coordsize="21600,21600" stroked="t" strokecolor="black">
                      <v:stroke joinstyle="round" endarrow="open"/>
                      <o:lock v:ext="edit" aspectratio="f"/>
                    </v:line>
                    <v:line id="_x0000_s1026" o:spid="_x0000_s1033" style="flip:x;position:absolute" from="16884,9819" to="16900,10519" coordsize="21600,21600" stroked="t" strokecolor="black">
                      <v:stroke joinstyle="round" endarrow="open"/>
                      <o:lock v:ext="edit" aspectratio="f"/>
                    </v:line>
                  </v:group>
                  <v:line id="_x0000_s1026" o:spid="_x0000_s1034" style="position:absolute" from="17004,10722" to="17738,10723" coordsize="21600,21600" stroked="t" strokecolor="black">
                    <v:stroke joinstyle="round" endarrow="open"/>
                    <o:lock v:ext="edit" aspectratio="f"/>
                  </v:line>
                </v:group>
              </v:group>
            </w:pict>
          </mc:Fallback>
        </mc:AlternateContent>
      </w:r>
    </w:p>
    <w:p w14:paraId="439F5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</w:p>
    <w:p w14:paraId="66D42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</w:p>
    <w:p w14:paraId="20EB685A">
      <w:pPr>
        <w:pStyle w:val="0"/>
        <w:keepNext w:val="0"/>
        <w:keepLines w:val="0"/>
        <w:pageBreakBefore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firstLine="0" w:leftChars="0" w:firstLineChars="0"/>
        <w:jc w:val="left"/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</w:pPr>
    </w:p>
    <w:p w14:paraId="44314CD9">
      <w:pPr>
        <w:pStyle w:val="0"/>
        <w:keepNext w:val="0"/>
        <w:keepLines w:val="0"/>
        <w:pageBreakBefore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firstLine="0" w:leftChars="0" w:firstLineChars="0"/>
        <w:jc w:val="left"/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t>5.污物位置的判断：污点跟谁移动，就在谁上面</w:t>
      </w:r>
    </w:p>
    <w:p w14:paraId="30103909">
      <w:pPr>
        <w:keepNext w:val="0"/>
        <w:keepLines w:val="0"/>
        <w:pageBreakBefore w:val="0"/>
        <w:wordWrap/>
        <w:topLinePunct w:val="0"/>
        <w:autoSpaceDE/>
        <w:autoSpaceDN/>
        <w:bidi w:val="0"/>
        <w:spacing w:after="0"/>
        <w:ind w:firstLine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/>
          <w:b/>
          <w:bCs w:val="0"/>
          <w:color w:val="000000"/>
          <w:szCs w:val="21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3822700</wp:posOffset>
            </wp:positionH>
            <wp:positionV relativeFrom="paragraph">
              <wp:posOffset>100965</wp:posOffset>
            </wp:positionV>
            <wp:extent cx="2503805" cy="2366645"/>
            <wp:effectExtent l="0" t="0" r="10795" b="14605"/>
            <wp:wrapSquare wrapText="bothSides"/>
            <wp:docPr id="9" name="图片 9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www.zqy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3805" cy="236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（污物一般不会在反光镜上，如在反光镜上则会改变视野亮度）</w:t>
      </w:r>
    </w:p>
    <w:p w14:paraId="005E2748">
      <w:pPr>
        <w:keepNext w:val="0"/>
        <w:keepLines w:val="0"/>
        <w:pageBreakBefore w:val="0"/>
        <w:wordWrap/>
        <w:topLinePunct w:val="0"/>
        <w:autoSpaceDE/>
        <w:autoSpaceDN/>
        <w:bidi w:val="0"/>
        <w:spacing w:after="0"/>
        <w:ind w:firstLine="0" w:firstLineChars="0"/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fldChar w:fldCharType="begin"/>
      </w: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instrText>eq \a\vs4\al(移动,装片)</w:instrText>
      </w: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fldChar w:fldCharType="separate"/>
      </w: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fldChar w:fldCharType="end"/>
      </w: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t xml:space="preserve"> </w:t>
      </w: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fldChar w:fldCharType="begin"/>
      </w: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instrText>eq \b\lc\{\rc\ (\a\vs4\al\co1(污物移动——在装片上,污物不动——转动目镜\b\lc\{\rc\ (\a\vs4\al\co1(污物移动——在目镜上,污物不动——在物镜上))))</w:instrText>
      </w: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fldChar w:fldCharType="separate"/>
      </w: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fldChar w:fldCharType="end"/>
      </w:r>
    </w:p>
    <w:p w14:paraId="7CA451CD">
      <w:pPr>
        <w:keepNext w:val="0"/>
        <w:keepLines w:val="0"/>
        <w:pageBreakBefore w:val="0"/>
        <w:wordWrap/>
        <w:topLinePunct w:val="0"/>
        <w:autoSpaceDE/>
        <w:autoSpaceDN/>
        <w:bidi w:val="0"/>
        <w:spacing w:after="0"/>
        <w:ind w:firstLine="0" w:firstLineChars="0"/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 w:val="0"/>
          <w:sz w:val="21"/>
          <w:szCs w:val="21"/>
          <w:lang w:val="en-US" w:eastAsia="zh-CN"/>
        </w:rPr>
        <w:t>6.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异常情况：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 xml:space="preserve">  </w:t>
      </w:r>
    </w:p>
    <w:p w14:paraId="6E9F7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leftChars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整个视野模糊——细准焦螺旋未调节好</w:t>
      </w:r>
    </w:p>
    <w:p w14:paraId="50F93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看不清物象→材料太厚</w:t>
      </w:r>
    </w:p>
    <w:p w14:paraId="288CA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视野一半模糊，一半清晰→材料厚薄不均</w:t>
      </w:r>
    </w:p>
    <w:p w14:paraId="6C59F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视野中有带黑边的圆圈→装片中有气泡</w:t>
      </w:r>
    </w:p>
    <w:p w14:paraId="5211C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b/>
          <w:bCs w:val="0"/>
        </w:rPr>
      </w:pP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一半暗，一半亮→反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val="en-US" w:eastAsia="zh-CN"/>
        </w:rPr>
        <w:t>光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镜角度不对</w:t>
      </w:r>
    </w:p>
    <w:p w14:paraId="21DDDB41">
      <w:pPr>
        <w:pStyle w:val="a0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after="0"/>
        <w:ind w:firstLine="0" w:firstLineChars="0"/>
        <w:rPr>
          <w:rFonts w:hint="default"/>
          <w:lang w:val="en-US" w:eastAsia="zh-CN"/>
        </w:rPr>
      </w:pPr>
    </w:p>
    <w:bookmarkEnd w:id="0"/>
    <w:sectPr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7A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410ED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895201618"/>
      <w:docPartObj>
        <w:docPartGallery w:val="autotext"/>
      </w:docPartObj>
    </w:sdtPr>
    <w:sdtContent>
      <w:p w14:paraId="3CCA7BA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BBAF9BA">
    <w:pPr>
      <w:pStyle w:val="Footer"/>
    </w:pPr>
  </w:p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5DCA03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44181A3">
    <w:pPr>
      <w:pStyle w:val="a4"/>
      <w:numPr>
        <w:ilvl w:val="0"/>
        <w:numId w:val="0"/>
      </w:numPr>
      <w:tabs>
        <w:tab w:val="left" w:pos="2765"/>
      </w:tabs>
      <w:bidi w:val="0"/>
      <w:jc w:val="left"/>
      <w:rPr>
        <w:rFonts w:eastAsiaTheme="minorEastAsia" w:hint="eastAsia"/>
        <w:sz w:val="21"/>
        <w:szCs w:val="21"/>
        <w:lang w:eastAsia="zh-CN"/>
      </w:rPr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D5D3F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F9AD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1B9C618"/>
    <w:multiLevelType w:val="singleLevel"/>
    <w:tmpl w:val="D1B9C618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DE77F149"/>
    <w:multiLevelType w:val="singleLevel"/>
    <w:tmpl w:val="DE77F14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63ED0CE"/>
    <w:multiLevelType w:val="singleLevel"/>
    <w:tmpl w:val="263ED0C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365C39"/>
    <w:rsid w:val="004151FC"/>
    <w:rsid w:val="00C02FC6"/>
    <w:rsid w:val="06B509AD"/>
    <w:rsid w:val="0D770B3A"/>
    <w:rsid w:val="0DC748B8"/>
    <w:rsid w:val="0E3B3703"/>
    <w:rsid w:val="0FC329CB"/>
    <w:rsid w:val="1DAE21D6"/>
    <w:rsid w:val="1F4B0CC8"/>
    <w:rsid w:val="26AE2CBC"/>
    <w:rsid w:val="2A020B11"/>
    <w:rsid w:val="3BFB1414"/>
    <w:rsid w:val="4D970706"/>
    <w:rsid w:val="55365C39"/>
    <w:rsid w:val="5F3F52FF"/>
    <w:rsid w:val="6AA64B7E"/>
    <w:rsid w:val="6E521E56"/>
    <w:rsid w:val="70AA537B"/>
    <w:rsid w:val="738B18D2"/>
  </w:rsids>
  <w:docVars>
    <w:docVar w:name="commondata" w:val="eyJoZGlkIjoiZTAzM2U5ODkwOTVjMTA2YTg3NGY0YWQ1Y2VhZWQ4Yzc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a">
    <w:name w:val="小字注释"/>
    <w:link w:val="Char"/>
    <w:qFormat/>
    <w:pPr>
      <w:spacing w:after="200" w:line="276" w:lineRule="auto"/>
      <w:ind w:firstLine="960" w:firstLineChars="200"/>
    </w:pPr>
    <w:rPr>
      <w:rFonts w:eastAsia="仿宋" w:asciiTheme="minorAscii" w:hAnsiTheme="minorAscii" w:cstheme="minorBidi"/>
      <w:sz w:val="24"/>
      <w:lang w:val="en-US" w:eastAsia="en-US" w:bidi="ar-SA"/>
    </w:rPr>
  </w:style>
  <w:style w:type="paragraph" w:customStyle="1" w:styleId="a0">
    <w:name w:val="正文内容"/>
    <w:link w:val="Char0"/>
    <w:qFormat/>
    <w:pPr>
      <w:spacing w:after="200" w:line="276" w:lineRule="auto"/>
    </w:pPr>
    <w:rPr>
      <w:rFonts w:ascii="Calibri" w:eastAsia="宋体" w:hAnsi="Calibri" w:cstheme="minorBidi"/>
      <w:sz w:val="28"/>
      <w:lang w:val="en-US" w:eastAsia="en-US" w:bidi="ar-SA"/>
    </w:rPr>
  </w:style>
  <w:style w:type="paragraph" w:customStyle="1" w:styleId="a1">
    <w:name w:val="序号"/>
    <w:basedOn w:val="Normal"/>
    <w:next w:val="a0"/>
    <w:qFormat/>
    <w:pPr>
      <w:jc w:val="left"/>
    </w:pPr>
    <w:rPr>
      <w:rFonts w:asciiTheme="minorAscii" w:hAnsiTheme="minorAscii"/>
      <w:b/>
      <w:sz w:val="28"/>
    </w:rPr>
  </w:style>
  <w:style w:type="paragraph" w:customStyle="1" w:styleId="a2">
    <w:name w:val="课程导入及学习目标"/>
    <w:next w:val="a1"/>
    <w:qFormat/>
    <w:pPr>
      <w:spacing w:after="200" w:line="276" w:lineRule="auto"/>
    </w:pPr>
    <w:rPr>
      <w:rFonts w:asciiTheme="minorAscii" w:eastAsiaTheme="minorEastAsia" w:hAnsiTheme="minorAscii" w:cstheme="minorBidi"/>
      <w:sz w:val="24"/>
      <w:lang w:val="en-US" w:eastAsia="en-US" w:bidi="ar-SA"/>
    </w:rPr>
  </w:style>
  <w:style w:type="paragraph" w:customStyle="1" w:styleId="a3">
    <w:name w:val="节标题"/>
    <w:next w:val="a2"/>
    <w:qFormat/>
    <w:pPr>
      <w:spacing w:after="200" w:line="276" w:lineRule="auto"/>
      <w:jc w:val="center"/>
    </w:pPr>
    <w:rPr>
      <w:rFonts w:asciiTheme="minorAscii" w:eastAsiaTheme="minorEastAsia" w:hAnsiTheme="minorAscii" w:cstheme="minorBidi"/>
      <w:b/>
      <w:sz w:val="30"/>
      <w:lang w:val="en-US" w:eastAsia="en-US" w:bidi="ar-SA"/>
    </w:rPr>
  </w:style>
  <w:style w:type="paragraph" w:customStyle="1" w:styleId="a4">
    <w:name w:val="章标题"/>
    <w:next w:val="a3"/>
    <w:qFormat/>
    <w:pPr>
      <w:spacing w:after="200" w:line="276" w:lineRule="auto"/>
      <w:jc w:val="center"/>
    </w:pPr>
    <w:rPr>
      <w:rFonts w:asciiTheme="minorAscii" w:eastAsiaTheme="minorEastAsia" w:hAnsiTheme="minorAscii" w:cstheme="minorBidi"/>
      <w:b/>
      <w:sz w:val="32"/>
      <w:lang w:val="en-US" w:eastAsia="en-US" w:bidi="ar-SA"/>
    </w:rPr>
  </w:style>
  <w:style w:type="character" w:customStyle="1" w:styleId="Char">
    <w:name w:val="小字注释 Char"/>
    <w:link w:val="a"/>
    <w:qFormat/>
    <w:rPr>
      <w:rFonts w:eastAsia="仿宋" w:asciiTheme="minorAscii" w:hAnsiTheme="minorAscii" w:cstheme="minorBidi"/>
      <w:sz w:val="24"/>
    </w:rPr>
  </w:style>
  <w:style w:type="character" w:customStyle="1" w:styleId="Char0">
    <w:name w:val="正文内容 Char"/>
    <w:link w:val="a0"/>
    <w:qFormat/>
    <w:rPr>
      <w:rFonts w:ascii="Calibri" w:eastAsia="宋体" w:hAnsi="Calibri" w:cstheme="minorBidi"/>
      <w:sz w:val="28"/>
    </w:rPr>
  </w:style>
  <w:style w:type="paragraph" w:customStyle="1" w:styleId="0">
    <w:name w:val="正文_0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image" Target="media/image5.png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243</Characters>
  <Application>Microsoft Office Word</Application>
  <DocSecurity>0</DocSecurity>
  <Lines>0</Lines>
  <Paragraphs>0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2024-09-21T02:45:00Z</cp:lastPrinted>
  <dcterms:created xsi:type="dcterms:W3CDTF">2020-10-18T07:21:00Z</dcterms:created>
  <dcterms:modified xsi:type="dcterms:W3CDTF">2024-09-23T01:47:37Z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